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8728">
      <w:pPr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3D0FF2C">
      <w:pPr>
        <w:spacing w:before="312" w:beforeLines="100" w:after="312" w:afterLines="100" w:line="640" w:lineRule="exact"/>
        <w:ind w:firstLine="0" w:firstLineChars="0"/>
        <w:jc w:val="center"/>
        <w:rPr>
          <w:rFonts w:ascii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年医疗器械发展与安全能力提升       培训班日程</w:t>
      </w:r>
    </w:p>
    <w:p w14:paraId="418321AE">
      <w:pPr>
        <w:ind w:firstLine="0" w:firstLineChars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10月</w:t>
      </w:r>
      <w:r>
        <w:rPr>
          <w:rFonts w:ascii="Times New Roman"/>
          <w:sz w:val="32"/>
          <w:szCs w:val="32"/>
        </w:rPr>
        <w:t>29</w:t>
      </w:r>
      <w:r>
        <w:rPr>
          <w:rFonts w:hint="eastAsia" w:ascii="Times New Roman"/>
          <w:sz w:val="32"/>
          <w:szCs w:val="32"/>
        </w:rPr>
        <w:t xml:space="preserve">日                  </w:t>
      </w:r>
    </w:p>
    <w:p w14:paraId="78DD381F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我国医疗器械不良事件监测工作的发展与启示（国家药品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相关</w:t>
      </w:r>
      <w:r>
        <w:rPr>
          <w:rFonts w:ascii="Times New Roman"/>
          <w:sz w:val="32"/>
          <w:szCs w:val="32"/>
        </w:rPr>
        <w:t>负责人</w:t>
      </w:r>
      <w:r>
        <w:rPr>
          <w:rFonts w:hint="eastAsia" w:ascii="Times New Roman"/>
          <w:sz w:val="32"/>
          <w:szCs w:val="32"/>
        </w:rPr>
        <w:t>）</w:t>
      </w:r>
    </w:p>
    <w:p w14:paraId="10F06646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医疗器械注册管理要求与重点工作（</w:t>
      </w:r>
      <w:r>
        <w:rPr>
          <w:rFonts w:hint="eastAsia"/>
          <w:sz w:val="32"/>
          <w:szCs w:val="32"/>
        </w:rPr>
        <w:t>国家药监局医疗器械注册司专家</w:t>
      </w:r>
      <w:r>
        <w:rPr>
          <w:rFonts w:hint="eastAsia" w:ascii="Times New Roman"/>
          <w:sz w:val="32"/>
          <w:szCs w:val="32"/>
        </w:rPr>
        <w:t>）</w:t>
      </w:r>
    </w:p>
    <w:p w14:paraId="08819044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医疗器械行业发展现状与展望（</w:t>
      </w:r>
      <w:r>
        <w:rPr>
          <w:rFonts w:hint="eastAsia"/>
          <w:sz w:val="32"/>
          <w:szCs w:val="32"/>
        </w:rPr>
        <w:t>中国医疗器械行业协会专家</w:t>
      </w:r>
      <w:r>
        <w:rPr>
          <w:rFonts w:hint="eastAsia" w:ascii="Times New Roman"/>
          <w:sz w:val="32"/>
          <w:szCs w:val="32"/>
        </w:rPr>
        <w:t>）</w:t>
      </w:r>
    </w:p>
    <w:p w14:paraId="47B197EA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三医联动提升医院医疗器械不良事件管理实践（中日</w:t>
      </w:r>
      <w:r>
        <w:rPr>
          <w:rFonts w:ascii="Times New Roman"/>
          <w:sz w:val="32"/>
          <w:szCs w:val="32"/>
        </w:rPr>
        <w:t>友好医院专家</w:t>
      </w:r>
      <w:r>
        <w:rPr>
          <w:rFonts w:hint="eastAsia" w:ascii="Times New Roman"/>
          <w:sz w:val="32"/>
          <w:szCs w:val="32"/>
        </w:rPr>
        <w:t>）</w:t>
      </w:r>
    </w:p>
    <w:p w14:paraId="67393504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中国医疗器械警戒核心内容和关键举措（国家药品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65A95158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医疗器械不良事件报告范围解读及故障类报告推进计划（国家药品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0ABE91E5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医疗器械安全性评价对产品注册变更的影响（国家药品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5F96A4B3">
      <w:pPr>
        <w:ind w:firstLine="0" w:firstLineChars="0"/>
        <w:rPr>
          <w:rFonts w:ascii="Times New Roman"/>
          <w:sz w:val="32"/>
          <w:szCs w:val="32"/>
        </w:rPr>
      </w:pPr>
    </w:p>
    <w:p w14:paraId="51EAAF2B">
      <w:pPr>
        <w:ind w:firstLine="0" w:firstLineChars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10月3</w:t>
      </w:r>
      <w:r>
        <w:rPr>
          <w:rFonts w:ascii="Times New Roman"/>
          <w:sz w:val="32"/>
          <w:szCs w:val="32"/>
        </w:rPr>
        <w:t>0</w:t>
      </w:r>
      <w:r>
        <w:rPr>
          <w:rFonts w:hint="eastAsia" w:ascii="Times New Roman"/>
          <w:sz w:val="32"/>
          <w:szCs w:val="32"/>
        </w:rPr>
        <w:t xml:space="preserve">日             </w:t>
      </w:r>
    </w:p>
    <w:p w14:paraId="5F548B96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医疗器械上市后监管与发展（</w:t>
      </w:r>
      <w:r>
        <w:rPr>
          <w:rFonts w:hint="eastAsia"/>
          <w:sz w:val="32"/>
          <w:szCs w:val="32"/>
        </w:rPr>
        <w:t>国家药监局医疗器械监管司专家</w:t>
      </w:r>
      <w:r>
        <w:rPr>
          <w:rFonts w:hint="eastAsia" w:ascii="Times New Roman"/>
          <w:sz w:val="32"/>
          <w:szCs w:val="32"/>
        </w:rPr>
        <w:t>）</w:t>
      </w:r>
    </w:p>
    <w:p w14:paraId="427D6C53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医疗器械临床评价实践与改革研究（</w:t>
      </w:r>
      <w:r>
        <w:rPr>
          <w:rFonts w:hint="eastAsia"/>
          <w:sz w:val="32"/>
          <w:szCs w:val="32"/>
        </w:rPr>
        <w:t>国家药监局医疗器械技术审评中心专家</w:t>
      </w:r>
      <w:r>
        <w:rPr>
          <w:rFonts w:hint="eastAsia" w:ascii="Times New Roman"/>
          <w:sz w:val="32"/>
          <w:szCs w:val="32"/>
        </w:rPr>
        <w:t>）</w:t>
      </w:r>
    </w:p>
    <w:p w14:paraId="4289D630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体外诊断试剂产品研发关注点与常见问题（</w:t>
      </w:r>
      <w:r>
        <w:rPr>
          <w:rFonts w:hint="eastAsia"/>
          <w:sz w:val="32"/>
          <w:szCs w:val="32"/>
        </w:rPr>
        <w:t>国家药监局医疗器械技术审评中心专家</w:t>
      </w:r>
      <w:r>
        <w:rPr>
          <w:rFonts w:hint="eastAsia" w:ascii="Times New Roman"/>
          <w:sz w:val="32"/>
          <w:szCs w:val="32"/>
        </w:rPr>
        <w:t>）</w:t>
      </w:r>
    </w:p>
    <w:p w14:paraId="1035DAC9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注册申请人角度谈如何利用审评审批制度改革提高申报质量和效率（史赛克(北京)医疗器械有限公司</w:t>
      </w:r>
      <w:r>
        <w:rPr>
          <w:rFonts w:hint="eastAsia"/>
          <w:sz w:val="32"/>
          <w:szCs w:val="32"/>
        </w:rPr>
        <w:t>专家</w:t>
      </w:r>
      <w:r>
        <w:rPr>
          <w:rFonts w:hint="eastAsia" w:ascii="Times New Roman"/>
          <w:sz w:val="32"/>
          <w:szCs w:val="32"/>
        </w:rPr>
        <w:t>）</w:t>
      </w:r>
    </w:p>
    <w:p w14:paraId="4D289C6F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医疗器械安全有效性评价思路（辽宁省</w:t>
      </w:r>
      <w:r>
        <w:rPr>
          <w:rFonts w:ascii="Times New Roman"/>
          <w:sz w:val="32"/>
          <w:szCs w:val="32"/>
        </w:rPr>
        <w:t>检验检测认证中心专家</w:t>
      </w:r>
      <w:r>
        <w:rPr>
          <w:rFonts w:hint="eastAsia" w:ascii="Times New Roman"/>
          <w:sz w:val="32"/>
          <w:szCs w:val="32"/>
        </w:rPr>
        <w:t>）</w:t>
      </w:r>
    </w:p>
    <w:p w14:paraId="5CD42BA4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医疗器械受益风险评价考虑（辽宁省药品审评</w:t>
      </w:r>
      <w:r>
        <w:rPr>
          <w:rFonts w:ascii="Times New Roman"/>
          <w:sz w:val="32"/>
          <w:szCs w:val="32"/>
        </w:rPr>
        <w:t>查验中心专家</w:t>
      </w:r>
      <w:r>
        <w:rPr>
          <w:rFonts w:hint="eastAsia" w:ascii="Times New Roman"/>
          <w:sz w:val="32"/>
          <w:szCs w:val="32"/>
        </w:rPr>
        <w:t>）</w:t>
      </w:r>
    </w:p>
    <w:p w14:paraId="4E236383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国家医疗器械登记系统在上市后主动监测中的应用（国家药品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146B1D9C">
      <w:pPr>
        <w:ind w:firstLine="0" w:firstLineChars="0"/>
        <w:rPr>
          <w:rFonts w:ascii="Times New Roman"/>
          <w:sz w:val="32"/>
          <w:szCs w:val="32"/>
        </w:rPr>
      </w:pPr>
    </w:p>
    <w:p w14:paraId="45EFA4B8">
      <w:pPr>
        <w:ind w:firstLine="0" w:firstLineChars="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10</w:t>
      </w:r>
      <w:r>
        <w:rPr>
          <w:rFonts w:hint="eastAsia" w:ascii="Times New Roman"/>
          <w:sz w:val="32"/>
          <w:szCs w:val="32"/>
        </w:rPr>
        <w:t xml:space="preserve">月31日           </w:t>
      </w:r>
    </w:p>
    <w:p w14:paraId="07D4A84A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医疗器械不良事件检查重点与案例分析（国家药监局食品</w:t>
      </w:r>
      <w:r>
        <w:rPr>
          <w:rFonts w:ascii="Times New Roman"/>
          <w:sz w:val="32"/>
          <w:szCs w:val="32"/>
        </w:rPr>
        <w:t>药品审核查验中心</w:t>
      </w:r>
      <w:r>
        <w:rPr>
          <w:rFonts w:hint="eastAsia" w:ascii="Times New Roman"/>
          <w:sz w:val="32"/>
          <w:szCs w:val="32"/>
        </w:rPr>
        <w:t>专家）</w:t>
      </w:r>
    </w:p>
    <w:p w14:paraId="461A9020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医疗器械监督检查实践（</w:t>
      </w:r>
      <w:r>
        <w:rPr>
          <w:rFonts w:ascii="Times New Roman"/>
          <w:sz w:val="32"/>
          <w:szCs w:val="32"/>
        </w:rPr>
        <w:t>广东省药品监督管理局</w:t>
      </w:r>
      <w:r>
        <w:rPr>
          <w:rFonts w:hint="eastAsia" w:ascii="Times New Roman"/>
          <w:sz w:val="32"/>
          <w:szCs w:val="32"/>
        </w:rPr>
        <w:t>专家）</w:t>
      </w:r>
    </w:p>
    <w:p w14:paraId="16D0F3CA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医疗器械分类规则与医疗器械分类界定办理程序介绍（中国食品药品检定研究院专家）</w:t>
      </w:r>
    </w:p>
    <w:p w14:paraId="77B696A8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医疗机构医疗器械警戒能力建设初探（华中科技大学同济医学院附属协和医院专家）</w:t>
      </w:r>
    </w:p>
    <w:p w14:paraId="77B44FD0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国家医疗器械监测信息系统问题解析与优化方向（国家药品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0BF67031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注册人如何处置国家监测系统中医疗器械不良事件（国家药品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专家）</w:t>
      </w:r>
    </w:p>
    <w:p w14:paraId="2D694618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注册人角度谈如何做好医疗器械警戒工作（强生（上海）医疗器材有限公司专家）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89" w:bottom="1440" w:left="1803" w:header="851" w:footer="992" w:gutter="0"/>
      <w:pgNumType w:fmt="numberInDash"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A8C83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78FD0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78FD0">
                    <w:pPr>
                      <w:pStyle w:val="4"/>
                      <w:ind w:firstLine="0" w:firstLineChars="0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BF2B1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0F9A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8496"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03AA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1710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3C00A3"/>
    <w:rsid w:val="0002193F"/>
    <w:rsid w:val="00034E19"/>
    <w:rsid w:val="00073F8A"/>
    <w:rsid w:val="000804D0"/>
    <w:rsid w:val="000B795C"/>
    <w:rsid w:val="000C6382"/>
    <w:rsid w:val="000C6E1C"/>
    <w:rsid w:val="00117DFA"/>
    <w:rsid w:val="001617D3"/>
    <w:rsid w:val="002024E1"/>
    <w:rsid w:val="00222DB5"/>
    <w:rsid w:val="0024665D"/>
    <w:rsid w:val="002A4F43"/>
    <w:rsid w:val="002B01CA"/>
    <w:rsid w:val="002B52EB"/>
    <w:rsid w:val="003209A6"/>
    <w:rsid w:val="00331E34"/>
    <w:rsid w:val="003563BD"/>
    <w:rsid w:val="003739DB"/>
    <w:rsid w:val="00395B04"/>
    <w:rsid w:val="0039686A"/>
    <w:rsid w:val="003A5870"/>
    <w:rsid w:val="003C00A3"/>
    <w:rsid w:val="003E1EBD"/>
    <w:rsid w:val="00447D0E"/>
    <w:rsid w:val="0047247E"/>
    <w:rsid w:val="004A6A5C"/>
    <w:rsid w:val="00577E0A"/>
    <w:rsid w:val="005977DA"/>
    <w:rsid w:val="005B0261"/>
    <w:rsid w:val="005F2CFB"/>
    <w:rsid w:val="005F67B2"/>
    <w:rsid w:val="006248C6"/>
    <w:rsid w:val="0063681A"/>
    <w:rsid w:val="00667B05"/>
    <w:rsid w:val="00693310"/>
    <w:rsid w:val="006A2578"/>
    <w:rsid w:val="006F57B6"/>
    <w:rsid w:val="00702E3A"/>
    <w:rsid w:val="0072555B"/>
    <w:rsid w:val="0072776B"/>
    <w:rsid w:val="00755CBF"/>
    <w:rsid w:val="00761BE1"/>
    <w:rsid w:val="00784F5A"/>
    <w:rsid w:val="0085409A"/>
    <w:rsid w:val="00866F54"/>
    <w:rsid w:val="00871211"/>
    <w:rsid w:val="00880AAF"/>
    <w:rsid w:val="008F0453"/>
    <w:rsid w:val="008F69FD"/>
    <w:rsid w:val="009234A7"/>
    <w:rsid w:val="00927006"/>
    <w:rsid w:val="00934D28"/>
    <w:rsid w:val="0094744E"/>
    <w:rsid w:val="00964BB6"/>
    <w:rsid w:val="0097568E"/>
    <w:rsid w:val="009844D7"/>
    <w:rsid w:val="009A7535"/>
    <w:rsid w:val="009C6985"/>
    <w:rsid w:val="009F632A"/>
    <w:rsid w:val="00A34582"/>
    <w:rsid w:val="00A5307C"/>
    <w:rsid w:val="00A56DE2"/>
    <w:rsid w:val="00A603CB"/>
    <w:rsid w:val="00AD2D2F"/>
    <w:rsid w:val="00AF35E8"/>
    <w:rsid w:val="00B143C5"/>
    <w:rsid w:val="00B621D8"/>
    <w:rsid w:val="00B675D0"/>
    <w:rsid w:val="00C00E77"/>
    <w:rsid w:val="00C20D16"/>
    <w:rsid w:val="00CD3A66"/>
    <w:rsid w:val="00CF5F76"/>
    <w:rsid w:val="00D33A9E"/>
    <w:rsid w:val="00D65E07"/>
    <w:rsid w:val="00D80344"/>
    <w:rsid w:val="00E1537A"/>
    <w:rsid w:val="00E26A3A"/>
    <w:rsid w:val="00E36DE6"/>
    <w:rsid w:val="00E77833"/>
    <w:rsid w:val="00EB34B7"/>
    <w:rsid w:val="00F05B2E"/>
    <w:rsid w:val="00F1200D"/>
    <w:rsid w:val="00F4615A"/>
    <w:rsid w:val="00F476C6"/>
    <w:rsid w:val="00F81A30"/>
    <w:rsid w:val="00F831F3"/>
    <w:rsid w:val="00F947B4"/>
    <w:rsid w:val="00FC1AFD"/>
    <w:rsid w:val="00FE6022"/>
    <w:rsid w:val="0A3534CE"/>
    <w:rsid w:val="0B35260A"/>
    <w:rsid w:val="0BEB139D"/>
    <w:rsid w:val="132F3C08"/>
    <w:rsid w:val="1342682C"/>
    <w:rsid w:val="20567044"/>
    <w:rsid w:val="36EA1AA7"/>
    <w:rsid w:val="3FEE7EAC"/>
    <w:rsid w:val="43AF5C17"/>
    <w:rsid w:val="497F4FC3"/>
    <w:rsid w:val="4F275B37"/>
    <w:rsid w:val="5C515082"/>
    <w:rsid w:val="5EC53C83"/>
    <w:rsid w:val="60913C55"/>
    <w:rsid w:val="6C9A7B97"/>
    <w:rsid w:val="7F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600" w:firstLineChars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方正小标宋简体" w:hAnsi="Times New Roman" w:eastAsia="方正小标宋简体" w:cs="Times New Roman"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方正小标宋简体" w:hAnsi="Times New Roman" w:eastAsia="方正小标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1158</Words>
  <Characters>1173</Characters>
  <Lines>9</Lines>
  <Paragraphs>2</Paragraphs>
  <TotalTime>24</TotalTime>
  <ScaleCrop>false</ScaleCrop>
  <LinksUpToDate>false</LinksUpToDate>
  <CharactersWithSpaces>1264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2024-09-20T01:57:00Z</dcterms:created>
  <dc:creator>郭雪</dc:creator>
  <cp:lastModifiedBy>LENOVO</cp:lastModifiedBy>
  <cp:lastPrinted>2024-09-24T06:07:00Z</cp:lastPrinted>
  <dcterms:modified xsi:type="dcterms:W3CDTF">2024-10-15T05:43:14Z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DEDEB50DF5D64D859E5A4616FBC95FF1_13</vt:lpwstr>
  </property>
</Properties>
</file>